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D2" w:rsidRDefault="008D29D2" w:rsidP="008D29D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Налоговый вычет при переводе нежилого строения в жилой дом не положен</w:t>
      </w:r>
    </w:p>
    <w:p w:rsidR="008D29D2" w:rsidRDefault="008D29D2" w:rsidP="008D29D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Налогоплательщик (согласно подпункта 6 пункта 3 ст. 220 Налогового кодекса Российской Федерации) имеет право на получение имущественного налогового вычета в размере фактически произведенных налогоплательщиком расходов на новое строительство либо приобретение на территории Российской Федерации жилых домов, квартир, комнат или доли (долей) в них, приобретение земельных участков или доли (долей) в них, предоставленных для индивидуального жилищного строительства, и земельных участков или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доли (долей) в них, на которых расположены приобретаемые жилые дома или доля (доли) в них.</w:t>
      </w:r>
    </w:p>
    <w:p w:rsidR="008D29D2" w:rsidRDefault="008D29D2" w:rsidP="008D29D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соответствии с подпунктом 7 пункта 3 статьи 220 Кодекса имущественный налоговый вычет предоставляется налогоплательщику на основании документов, подтверждающих возникновение права на указанный вычет, платежных документов, оформленных в установленном порядке и подтверждающих произведенные налогоплательщиком расходы.</w:t>
      </w:r>
      <w:r>
        <w:rPr>
          <w:rFonts w:ascii="Tahoma" w:hAnsi="Tahoma" w:cs="Tahoma"/>
          <w:color w:val="000000"/>
          <w:sz w:val="21"/>
          <w:szCs w:val="21"/>
        </w:rPr>
        <w:br/>
        <w:t>Таким образом, налогоплательщик вправе получить имущественный налоговый вычет по налогу на доходы физических лиц в случае строительства или приобретения жилого дома. Предоставление имущественного налогового вычета в связи с переводом нежилого строения (здания) в жилой дом, Налоговым кодексом РФ не предусмотрено.</w:t>
      </w:r>
    </w:p>
    <w:bookmarkEnd w:id="0"/>
    <w:p w:rsidR="009F2921" w:rsidRDefault="009F2921"/>
    <w:sectPr w:rsidR="009F2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3A"/>
    <w:rsid w:val="008D29D2"/>
    <w:rsid w:val="009F2921"/>
    <w:rsid w:val="00DA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9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2019-11-28T07:47:00Z</dcterms:created>
  <dcterms:modified xsi:type="dcterms:W3CDTF">2019-11-28T07:48:00Z</dcterms:modified>
</cp:coreProperties>
</file>