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DF" w:rsidRDefault="00E71EDF" w:rsidP="00E71EDF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Налог на прибыль: изменился список внереализационных доходов и расходов</w:t>
      </w:r>
    </w:p>
    <w:bookmarkEnd w:id="0"/>
    <w:p w:rsidR="00E71EDF" w:rsidRDefault="00E71EDF" w:rsidP="00E71EDF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внереализационным расходам отнесены затраты в виде стоимости безвозмездно переданного в государственную или муниципальную собственность имущества (имущественных прав), приобретенного (созданного) за счет субсидий. Эти затраты будут учитываться при исчислении налога на прибыль в размере, не превышающем сумму полученной субсидии, включенной в состав внереализационных доходов.</w:t>
      </w:r>
    </w:p>
    <w:p w:rsidR="00E71EDF" w:rsidRDefault="00E71EDF" w:rsidP="00E71EDF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субсидии не включаются в состав внереализационных доходов при расчете 90-процентного значения доли доходов от реализации товаров, произведенных в рамках регионального инвестиционного проекта, в составе всех доходов, учитываемых при налогообложении прибыли.</w:t>
      </w:r>
      <w:r>
        <w:rPr>
          <w:rFonts w:ascii="Arial" w:hAnsi="Arial" w:cs="Arial"/>
          <w:color w:val="000000"/>
          <w:sz w:val="21"/>
          <w:szCs w:val="21"/>
        </w:rPr>
        <w:br/>
        <w:t>Федеральный закон от 15.10.2020 №335-ФЗ вступает в силу со дня опубликования и распространяется на правоотношения по безвозмездной передаче имущества (имущественных прав) в государственную и (или) муниципальную собственность, возникшие с 1 января 2020 г.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876228"/>
    <w:rsid w:val="00924360"/>
    <w:rsid w:val="009376CE"/>
    <w:rsid w:val="009421A5"/>
    <w:rsid w:val="00A04837"/>
    <w:rsid w:val="00B146BA"/>
    <w:rsid w:val="00D54DBD"/>
    <w:rsid w:val="00DF6648"/>
    <w:rsid w:val="00E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2020-11-19T13:08:00Z</dcterms:created>
  <dcterms:modified xsi:type="dcterms:W3CDTF">2020-11-19T13:08:00Z</dcterms:modified>
</cp:coreProperties>
</file>