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64" w:rsidRDefault="000E5164" w:rsidP="000E5164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b/>
          <w:bCs/>
          <w:color w:val="000000"/>
          <w:sz w:val="35"/>
          <w:szCs w:val="35"/>
          <w:bdr w:val="none" w:sz="0" w:space="0" w:color="auto" w:frame="1"/>
        </w:rPr>
        <w:t>Полномочия органов местного самоуправления в области противодействия терроризму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E5164" w:rsidRDefault="000E5164" w:rsidP="000E5164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6) осуществляют иные полномочия по решению вопросов местного значения по участию в </w:t>
      </w: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lastRenderedPageBreak/>
        <w:t>профилактике терроризма, а также в минимизации и (или) ликвидации последствий его проявлений.</w:t>
      </w:r>
    </w:p>
    <w:p w:rsidR="0043568F" w:rsidRDefault="0043568F"/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5164"/>
    <w:rsid w:val="000E5164"/>
    <w:rsid w:val="0043568F"/>
    <w:rsid w:val="00ED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2016-12-29T11:51:00Z</dcterms:created>
  <dcterms:modified xsi:type="dcterms:W3CDTF">2016-12-29T11:52:00Z</dcterms:modified>
</cp:coreProperties>
</file>